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城区</w:t>
      </w:r>
      <w:r>
        <w:rPr>
          <w:rFonts w:hint="eastAsia" w:ascii="仿宋_GB2312" w:eastAsia="仿宋_GB2312"/>
          <w:szCs w:val="21"/>
          <w:lang w:val="en-US" w:eastAsia="zh-CN"/>
        </w:rPr>
        <w:t>居配</w:t>
      </w:r>
      <w:r>
        <w:rPr>
          <w:rFonts w:hint="eastAsia" w:ascii="仿宋_GB2312" w:eastAsia="仿宋_GB2312"/>
          <w:szCs w:val="21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3225043000061751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南通天扬置业有限公司 </w:t>
      </w:r>
      <w:r>
        <w:rPr>
          <w:rFonts w:hint="eastAsia" w:ascii="仿宋_GB2312" w:eastAsia="仿宋_GB2312"/>
          <w:szCs w:val="21"/>
          <w:lang w:val="en-US" w:eastAsia="zh-CN"/>
        </w:rPr>
        <w:t>，新装容量：640</w:t>
      </w:r>
      <w:r>
        <w:rPr>
          <w:rFonts w:hint="eastAsia" w:ascii="仿宋_GB2312" w:eastAsia="仿宋_GB2312"/>
          <w:szCs w:val="21"/>
        </w:rPr>
        <w:t>0kVA</w:t>
      </w:r>
      <w:r>
        <w:rPr>
          <w:rFonts w:hint="eastAsia" w:ascii="仿宋_GB2312" w:eastAsia="仿宋_GB2312"/>
          <w:szCs w:val="21"/>
          <w:lang w:val="en-US" w:eastAsia="zh-CN"/>
        </w:rPr>
        <w:t>，性质：公变；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  <w:r>
        <w:rPr>
          <w:rFonts w:hint="eastAsia" w:ascii="仿宋_GB2312" w:eastAsia="仿宋_GB2312"/>
          <w:szCs w:val="21"/>
          <w:lang w:val="en-US" w:eastAsia="zh-CN"/>
        </w:rPr>
        <w:t>地址：</w:t>
      </w:r>
      <w:r>
        <w:rPr>
          <w:rFonts w:hint="eastAsia" w:ascii="仿宋_GB2312" w:eastAsia="仿宋_GB2312"/>
          <w:szCs w:val="21"/>
        </w:rPr>
        <w:t>南通市崇川区濠东路东、濠北路南侧</w:t>
      </w:r>
      <w:r>
        <w:rPr>
          <w:rFonts w:hint="eastAsia" w:ascii="仿宋_GB2312" w:eastAsia="仿宋_GB2312"/>
          <w:szCs w:val="21"/>
        </w:rPr>
        <w:t>R2400</w:t>
      </w:r>
      <w:r>
        <w:rPr>
          <w:rFonts w:hint="eastAsia" w:ascii="仿宋_GB2312" w:eastAsia="仿宋_GB2312"/>
          <w:szCs w:val="21"/>
        </w:rPr>
        <w:t>3地块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取得土地使用权时间：202</w:t>
      </w:r>
      <w:r>
        <w:rPr>
          <w:rFonts w:hint="eastAsia" w:ascii="仿宋_GB2312" w:eastAsia="仿宋_GB2312"/>
          <w:szCs w:val="21"/>
          <w:lang w:val="en-US" w:eastAsia="zh-CN"/>
        </w:rPr>
        <w:t>3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12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上机时间：202</w:t>
      </w:r>
      <w:r>
        <w:rPr>
          <w:rFonts w:hint="eastAsia" w:ascii="仿宋_GB2312" w:eastAsia="仿宋_GB2312"/>
          <w:szCs w:val="21"/>
          <w:lang w:val="en-US" w:eastAsia="zh-CN"/>
        </w:rPr>
        <w:t>5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4</w:t>
      </w:r>
      <w:r>
        <w:rPr>
          <w:rFonts w:hint="eastAsia" w:ascii="仿宋_GB2312" w:eastAsia="仿宋_GB2312"/>
          <w:szCs w:val="21"/>
        </w:rPr>
        <w:t>月</w:t>
      </w:r>
      <w:r>
        <w:rPr>
          <w:rFonts w:hint="eastAsia" w:ascii="仿宋_GB2312" w:eastAsia="仿宋_GB2312"/>
          <w:szCs w:val="21"/>
          <w:lang w:val="en-US" w:eastAsia="zh-CN"/>
        </w:rPr>
        <w:t>30</w:t>
      </w:r>
      <w:r>
        <w:rPr>
          <w:rFonts w:hint="eastAsia" w:ascii="仿宋_GB2312" w:eastAsia="仿宋_GB2312"/>
          <w:szCs w:val="21"/>
        </w:rPr>
        <w:t>日；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用户期望通电时间：202</w:t>
      </w:r>
      <w:r>
        <w:rPr>
          <w:rFonts w:hint="eastAsia" w:ascii="仿宋_GB2312" w:eastAsia="仿宋_GB2312"/>
          <w:szCs w:val="21"/>
          <w:lang w:val="en-US" w:eastAsia="zh-CN"/>
        </w:rPr>
        <w:t>6</w:t>
      </w:r>
      <w:r>
        <w:rPr>
          <w:rFonts w:hint="eastAsia" w:ascii="仿宋_GB2312" w:eastAsia="仿宋_GB2312"/>
          <w:szCs w:val="21"/>
        </w:rPr>
        <w:t>年</w:t>
      </w:r>
      <w:r>
        <w:rPr>
          <w:rFonts w:hint="eastAsia" w:ascii="仿宋_GB2312" w:eastAsia="仿宋_GB2312"/>
          <w:szCs w:val="21"/>
          <w:lang w:val="en-US" w:eastAsia="zh-CN"/>
        </w:rPr>
        <w:t>8</w:t>
      </w:r>
      <w:r>
        <w:rPr>
          <w:rFonts w:hint="eastAsia" w:ascii="仿宋_GB2312" w:eastAsia="仿宋_GB2312"/>
          <w:szCs w:val="21"/>
        </w:rPr>
        <w:t>月；</w:t>
      </w:r>
    </w:p>
    <w:p>
      <w:pPr>
        <w:widowControl/>
        <w:jc w:val="left"/>
        <w:rPr>
          <w:rFonts w:hint="eastAsia" w:ascii="仿宋_GB2312" w:eastAsia="仿宋_GB2312"/>
          <w:szCs w:val="21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  <w:lang w:val="en-US" w:eastAsia="zh-CN"/>
        </w:rPr>
        <w:t>主电源：</w:t>
      </w:r>
      <w:r>
        <w:rPr>
          <w:rFonts w:hint="eastAsia" w:ascii="仿宋_GB2312" w:eastAsia="仿宋_GB2312"/>
          <w:szCs w:val="21"/>
        </w:rPr>
        <w:t>第一路电源：</w:t>
      </w:r>
      <w:r>
        <w:rPr>
          <w:rFonts w:hint="eastAsia" w:ascii="仿宋_GB2312" w:eastAsia="仿宋_GB2312"/>
          <w:szCs w:val="21"/>
          <w:lang w:val="en-US" w:eastAsia="zh-CN"/>
        </w:rPr>
        <w:t>公变第一路电源（3200kVA）由110kV北郊变2号主变（50MVA，64.19%）134备用A间隔新放线路至10kV居家线2C#13聚德轩环网柜，割接居家线2C#13聚德轩环网柜后段负荷后新放电缆至前置环网柜，由前置环网新放电缆接入。新放线路新放线路电缆建议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Cs w:val="21"/>
          <w:lang w:eastAsia="zh-CN"/>
        </w:rPr>
      </w:pPr>
      <w:r>
        <w:rPr>
          <w:rFonts w:hint="eastAsia" w:ascii="仿宋_GB2312" w:eastAsia="仿宋_GB2312"/>
          <w:szCs w:val="21"/>
        </w:rPr>
        <w:t>第二路电源：</w:t>
      </w:r>
      <w:r>
        <w:rPr>
          <w:rFonts w:hint="eastAsia" w:ascii="仿宋_GB2312" w:eastAsia="仿宋_GB2312"/>
          <w:szCs w:val="21"/>
          <w:lang w:val="en-US" w:eastAsia="zh-CN"/>
        </w:rPr>
        <w:t>公变第二路电源（3200kVA）由110kV友谊变2号主变（40MVA，48.3%）10kV王府井线232#3濠滨大楼环网柜旁新墩环网柜新放线路至前置环网柜，由前置环网新放电缆接入。</w:t>
      </w:r>
      <w:r>
        <w:rPr>
          <w:rFonts w:hint="eastAsia" w:ascii="仿宋_GB2312" w:eastAsia="仿宋_GB2312"/>
          <w:szCs w:val="21"/>
          <w:lang w:eastAsia="zh-CN"/>
        </w:rPr>
        <w:t>新放线路电缆建议采用不小于</w:t>
      </w:r>
      <w:r>
        <w:rPr>
          <w:rFonts w:hint="eastAsia" w:ascii="仿宋_GB2312" w:eastAsia="仿宋_GB2312"/>
          <w:szCs w:val="21"/>
          <w:lang w:val="en-US" w:eastAsia="zh-CN"/>
        </w:rPr>
        <w:t>400</w:t>
      </w:r>
      <w:r>
        <w:rPr>
          <w:rFonts w:hint="eastAsia" w:ascii="仿宋_GB2312" w:eastAsia="仿宋_GB2312"/>
          <w:szCs w:val="21"/>
        </w:rPr>
        <w:t>截面铜芯电缆</w:t>
      </w:r>
      <w:r>
        <w:rPr>
          <w:rFonts w:hint="eastAsia" w:ascii="仿宋_GB2312" w:eastAsia="仿宋_GB2312"/>
          <w:szCs w:val="21"/>
          <w:lang w:eastAsia="zh-CN"/>
        </w:rPr>
        <w:t>，用户进线</w:t>
      </w:r>
      <w:r>
        <w:rPr>
          <w:rFonts w:hint="eastAsia" w:ascii="仿宋_GB2312" w:eastAsia="仿宋_GB2312"/>
          <w:szCs w:val="21"/>
        </w:rPr>
        <w:t>电缆</w:t>
      </w:r>
      <w:r>
        <w:rPr>
          <w:rFonts w:hint="eastAsia" w:ascii="仿宋_GB2312" w:eastAsia="仿宋_GB2312"/>
          <w:szCs w:val="21"/>
          <w:lang w:eastAsia="zh-CN"/>
        </w:rPr>
        <w:t>建议采用不小于</w:t>
      </w:r>
      <w:r>
        <w:rPr>
          <w:rFonts w:hint="eastAsia" w:ascii="仿宋_GB2312" w:eastAsia="仿宋_GB2312"/>
          <w:szCs w:val="21"/>
          <w:lang w:val="en-US" w:eastAsia="zh-CN"/>
        </w:rPr>
        <w:t>400</w:t>
      </w:r>
      <w:r>
        <w:rPr>
          <w:rFonts w:hint="eastAsia" w:ascii="仿宋_GB2312" w:eastAsia="仿宋_GB2312"/>
          <w:szCs w:val="21"/>
        </w:rPr>
        <w:t>截面铜芯电缆</w:t>
      </w:r>
      <w:r>
        <w:rPr>
          <w:rFonts w:hint="eastAsia" w:ascii="仿宋_GB2312" w:eastAsia="仿宋_GB2312"/>
          <w:szCs w:val="21"/>
          <w:lang w:eastAsia="zh-CN"/>
        </w:rPr>
        <w:t>。</w:t>
      </w:r>
    </w:p>
    <w:p>
      <w:pPr>
        <w:widowControl/>
        <w:jc w:val="left"/>
        <w:rPr>
          <w:rFonts w:hint="eastAsia" w:ascii="仿宋_GB2312" w:eastAsia="仿宋_GB2312"/>
          <w:szCs w:val="21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bookmarkStart w:id="0" w:name="_GoBack"/>
      <w:r>
        <w:drawing>
          <wp:inline distT="0" distB="0" distL="114300" distR="114300">
            <wp:extent cx="5221605" cy="6209030"/>
            <wp:effectExtent l="0" t="0" r="171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1605" cy="620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7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2025-10-01T01:26:57Z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